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"/>
        <w:gridCol w:w="7031"/>
        <w:gridCol w:w="556"/>
        <w:gridCol w:w="1556"/>
      </w:tblGrid>
      <w:tr w:rsidR="006D6D22" w:rsidTr="00CA54E9">
        <w:trPr>
          <w:cantSplit/>
        </w:trPr>
        <w:tc>
          <w:tcPr>
            <w:tcW w:w="7270" w:type="dxa"/>
            <w:gridSpan w:val="2"/>
            <w:vAlign w:val="center"/>
            <w:hideMark/>
          </w:tcPr>
          <w:p w:rsidR="006D6D22" w:rsidRDefault="006D6D22" w:rsidP="00CA54E9">
            <w:pPr>
              <w:tabs>
                <w:tab w:val="right" w:pos="7200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</w:rPr>
              <w:t>Název standardu</w:t>
            </w:r>
            <w:r>
              <w:rPr>
                <w:rFonts w:ascii="Tahoma" w:hAnsi="Tahoma" w:cs="Tahoma"/>
              </w:rPr>
              <w:tab/>
              <w:t>Číslo standardu</w:t>
            </w:r>
          </w:p>
        </w:tc>
        <w:tc>
          <w:tcPr>
            <w:tcW w:w="585" w:type="dxa"/>
            <w:vMerge w:val="restart"/>
          </w:tcPr>
          <w:p w:rsidR="006D6D22" w:rsidRDefault="006D6D22" w:rsidP="00CA54E9">
            <w:pPr>
              <w:tabs>
                <w:tab w:val="right" w:pos="9360"/>
              </w:tabs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shd w:val="clear" w:color="auto" w:fill="808080"/>
            <w:vAlign w:val="center"/>
            <w:hideMark/>
          </w:tcPr>
          <w:p w:rsidR="006D6D22" w:rsidRDefault="006D6D22" w:rsidP="006D6D22">
            <w:pPr>
              <w:jc w:val="center"/>
              <w:rPr>
                <w:rFonts w:ascii="Arial Black" w:hAnsi="Arial Black" w:cs="Tahoma"/>
                <w:color w:val="FFFFFF"/>
                <w:sz w:val="56"/>
                <w:szCs w:val="24"/>
              </w:rPr>
            </w:pPr>
            <w:r>
              <w:rPr>
                <w:rFonts w:ascii="Arial Black" w:hAnsi="Arial Black" w:cs="Tahoma"/>
                <w:color w:val="FFFFFF"/>
                <w:sz w:val="56"/>
                <w:szCs w:val="24"/>
              </w:rPr>
              <w:t>P33</w:t>
            </w:r>
          </w:p>
        </w:tc>
      </w:tr>
      <w:tr w:rsidR="006D6D22" w:rsidTr="00CA54E9">
        <w:trPr>
          <w:cantSplit/>
        </w:trPr>
        <w:tc>
          <w:tcPr>
            <w:tcW w:w="7270" w:type="dxa"/>
            <w:gridSpan w:val="2"/>
          </w:tcPr>
          <w:p w:rsidR="006D6D22" w:rsidRDefault="006D6D22" w:rsidP="00CA54E9">
            <w:pPr>
              <w:tabs>
                <w:tab w:val="right" w:pos="7200"/>
              </w:tabs>
              <w:rPr>
                <w:rFonts w:ascii="Tahoma" w:hAnsi="Tahoma" w:cs="Tahoma"/>
                <w:sz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Arial Black" w:hAnsi="Arial Black" w:cs="Tahoma"/>
                <w:color w:val="FFFFFF"/>
                <w:sz w:val="56"/>
                <w:szCs w:val="24"/>
              </w:rPr>
            </w:pPr>
          </w:p>
        </w:tc>
      </w:tr>
      <w:tr w:rsidR="006D6D22" w:rsidTr="00CA54E9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</w:tcPr>
          <w:p w:rsidR="006D6D22" w:rsidRDefault="006D6D22" w:rsidP="00CA54E9">
            <w:pPr>
              <w:tabs>
                <w:tab w:val="right" w:pos="7200"/>
              </w:tabs>
              <w:rPr>
                <w:rFonts w:ascii="Tahoma" w:hAnsi="Tahoma" w:cs="Tahoma"/>
                <w:sz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Arial Black" w:hAnsi="Arial Black" w:cs="Tahoma"/>
                <w:color w:val="FFFFFF"/>
                <w:sz w:val="56"/>
                <w:szCs w:val="24"/>
              </w:rPr>
            </w:pPr>
          </w:p>
        </w:tc>
      </w:tr>
      <w:tr w:rsidR="006D6D22" w:rsidTr="00CA54E9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  <w:hideMark/>
          </w:tcPr>
          <w:p w:rsidR="006D6D22" w:rsidRDefault="006D6D22" w:rsidP="00CA54E9">
            <w:pPr>
              <w:pStyle w:val="Nadpis1"/>
              <w:tabs>
                <w:tab w:val="right" w:pos="9360"/>
              </w:tabs>
              <w:rPr>
                <w:sz w:val="20"/>
                <w:szCs w:val="20"/>
              </w:rPr>
            </w:pPr>
            <w:proofErr w:type="spellStart"/>
            <w:r>
              <w:t>Mraznice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Arial Black" w:hAnsi="Arial Black" w:cs="Tahoma"/>
                <w:color w:val="FFFFFF"/>
                <w:sz w:val="56"/>
                <w:szCs w:val="24"/>
              </w:rPr>
            </w:pPr>
          </w:p>
        </w:tc>
      </w:tr>
      <w:tr w:rsidR="006D6D22" w:rsidTr="00CA54E9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</w:tcPr>
          <w:p w:rsidR="006D6D22" w:rsidRDefault="006D6D22" w:rsidP="00CA54E9">
            <w:pPr>
              <w:tabs>
                <w:tab w:val="right" w:pos="7200"/>
              </w:tabs>
              <w:rPr>
                <w:rFonts w:ascii="Tahoma" w:hAnsi="Tahoma" w:cs="Tahoma"/>
                <w:sz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Arial Black" w:hAnsi="Arial Black" w:cs="Tahoma"/>
                <w:color w:val="FFFFFF"/>
                <w:sz w:val="56"/>
                <w:szCs w:val="24"/>
              </w:rPr>
            </w:pPr>
          </w:p>
        </w:tc>
      </w:tr>
      <w:tr w:rsidR="006D6D22" w:rsidTr="00CA54E9">
        <w:trPr>
          <w:cantSplit/>
        </w:trPr>
        <w:tc>
          <w:tcPr>
            <w:tcW w:w="7270" w:type="dxa"/>
            <w:gridSpan w:val="2"/>
          </w:tcPr>
          <w:p w:rsidR="006D6D22" w:rsidRDefault="006D6D22" w:rsidP="00CA54E9">
            <w:pPr>
              <w:tabs>
                <w:tab w:val="right" w:pos="7200"/>
              </w:tabs>
              <w:rPr>
                <w:rFonts w:ascii="Tahoma" w:hAnsi="Tahoma" w:cs="Tahoma"/>
                <w:sz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6D22" w:rsidRDefault="006D6D22" w:rsidP="00CA54E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75" w:type="dxa"/>
          </w:tcPr>
          <w:p w:rsidR="006D6D22" w:rsidRDefault="006D6D22" w:rsidP="00CA54E9">
            <w:pPr>
              <w:tabs>
                <w:tab w:val="right" w:pos="7200"/>
              </w:tabs>
              <w:rPr>
                <w:rFonts w:ascii="Tahoma" w:hAnsi="Tahoma" w:cs="Tahoma"/>
                <w:sz w:val="14"/>
              </w:rPr>
            </w:pPr>
          </w:p>
        </w:tc>
      </w:tr>
    </w:tbl>
    <w:p w:rsidR="006D6D22" w:rsidRDefault="006D6D22" w:rsidP="006D6D22">
      <w:r>
        <w:t>3.050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proofErr w:type="spellStart"/>
      <w:r w:rsidRPr="006D6D22">
        <w:rPr>
          <w:rFonts w:cs="Arial"/>
          <w:b/>
          <w:bCs/>
        </w:rPr>
        <w:t>hlubokomrazicí</w:t>
      </w:r>
      <w:proofErr w:type="spellEnd"/>
      <w:r w:rsidRPr="006D6D22">
        <w:rPr>
          <w:rFonts w:cs="Arial"/>
          <w:b/>
          <w:bCs/>
        </w:rPr>
        <w:t xml:space="preserve"> box 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proofErr w:type="spellStart"/>
      <w:r w:rsidRPr="006D6D22">
        <w:rPr>
          <w:rFonts w:cs="Arial"/>
        </w:rPr>
        <w:t>hlubokomrazicí</w:t>
      </w:r>
      <w:proofErr w:type="spellEnd"/>
      <w:r w:rsidRPr="006D6D22">
        <w:rPr>
          <w:rFonts w:cs="Arial"/>
        </w:rPr>
        <w:t xml:space="preserve"> box </w:t>
      </w:r>
      <w:r w:rsidRPr="006D6D22">
        <w:rPr>
          <w:rFonts w:cs="Arial"/>
          <w:b/>
        </w:rPr>
        <w:t>kategorie -86°C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 xml:space="preserve">kapacita boxu minimálně 650 l, možnost uložení minimálně 500ks 50 mm (2") </w:t>
      </w:r>
      <w:proofErr w:type="spellStart"/>
      <w:r w:rsidRPr="006D6D22">
        <w:rPr>
          <w:rFonts w:cs="Arial"/>
        </w:rPr>
        <w:t>kryokrabiček</w:t>
      </w:r>
      <w:proofErr w:type="spellEnd"/>
      <w:r w:rsidRPr="006D6D22">
        <w:rPr>
          <w:rFonts w:cs="Arial"/>
        </w:rPr>
        <w:t xml:space="preserve"> v zakladačích, stojanové provedení, vnější dveře se zámkem, robustní zavírací mechanizmus s ovládáním jednou rukou, 4 nebo 5 vnitřních oddílů s volitelně posunovatelnými policemi, nejméně 4 nebo 5 vnitřních plně izolovaných dveří s automatickou aretací v uzavřené poloze (bez mechanického zámku)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teplotní rozsah alespoň -60°C až - 85°C s garancí teploty -85°C i při teplotě okolí nad 30°C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proofErr w:type="spellStart"/>
      <w:r w:rsidRPr="006D6D22">
        <w:rPr>
          <w:rFonts w:cs="Arial"/>
        </w:rPr>
        <w:t>dvoukompresorový</w:t>
      </w:r>
      <w:proofErr w:type="spellEnd"/>
      <w:r w:rsidRPr="006D6D22">
        <w:rPr>
          <w:rFonts w:cs="Arial"/>
        </w:rPr>
        <w:t xml:space="preserve"> chladicí systém se dvěma výkonnými kompresory alespoň 1HP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vysoká teplotní uniformita s diferencí do 8°C v celém vnitřním prostoru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 xml:space="preserve">účinná dvouvrstvá vakuová izolace, teplotní pád po výpadku proudu do </w:t>
      </w:r>
      <w:proofErr w:type="spellStart"/>
      <w:r w:rsidRPr="006D6D22">
        <w:rPr>
          <w:rFonts w:cs="Arial"/>
        </w:rPr>
        <w:t>max</w:t>
      </w:r>
      <w:proofErr w:type="spellEnd"/>
      <w:r w:rsidRPr="006D6D22">
        <w:rPr>
          <w:rFonts w:cs="Arial"/>
        </w:rPr>
        <w:t xml:space="preserve"> 10°C / hod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bezobsluhový automatický ventil pro vyrovnání tlaku pro snadné otevírání dveří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alespoň 1 průchodka v zadní stěně o průměru minimálně  Ø 20 mm pro externí čidla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nosnost polic alespoň 50 kg / polici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účinné těsnění dveří se zabezpečením proti námraze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digitální a grafické ovládací rozhraní, grafický displej, umístěný v úrovni očí, voděodolná klávesnice nebo dotykový displej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ovládání chráněné heslem, možnost definovat více uživatelů s možností a bez možnosti změny nastavení boxu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informace o parametrech - žádaná a skutečná teplota, rychle a snadno čitelná informace o celkovém provozním stavu boxu v několika úrovních (bezproblémový chod, překročení provozních parametrů, kritické překročení provozních parametrů)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 xml:space="preserve">stavitelné alarmové meze a meze pro upozornění: vícebodové  měření vnitřní teploty boxu, měření okolní teploty, provozních teplot </w:t>
      </w:r>
      <w:proofErr w:type="gramStart"/>
      <w:r w:rsidRPr="006D6D22">
        <w:rPr>
          <w:rFonts w:cs="Arial"/>
        </w:rPr>
        <w:t>chladícího</w:t>
      </w:r>
      <w:proofErr w:type="gramEnd"/>
      <w:r w:rsidRPr="006D6D22">
        <w:rPr>
          <w:rFonts w:cs="Arial"/>
        </w:rPr>
        <w:t xml:space="preserve"> systému, alarm otevření dveří, alarm výpadek napájení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monitoring (s alespoň 5 letou archivací dat) teplot, výskytu alarmů, přístupu do boxu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zálohování regulačního systému akumulátorem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výstup alarmu – beznapěťový kontakt, výstup dat RS485 nebo 4-20 mA, možnost exportu dat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lastRenderedPageBreak/>
        <w:t>možnost provozu v režimu plného výkonu nebo ekonomickém režimu bez omezení dosažitelné minimální teploty</w:t>
      </w:r>
    </w:p>
    <w:p w:rsidR="006D6D22" w:rsidRPr="006D6D22" w:rsidRDefault="00A51786" w:rsidP="006D6D22">
      <w:pPr>
        <w:spacing w:before="120" w:after="60" w:line="360" w:lineRule="auto"/>
        <w:contextualSpacing/>
        <w:rPr>
          <w:rFonts w:cs="Arial"/>
        </w:rPr>
      </w:pPr>
      <w:r>
        <w:rPr>
          <w:rFonts w:cs="Arial"/>
        </w:rPr>
        <w:t>hlučnost do 66 dB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napájení 230V Hz, spotřeba maximálně 20 kWh/24 hod při plném výkonu, maximálně 18 kWh/24 hod v ekonomickém režimu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rozměry – celkové vnější rozměry včetně výčnělků maximálně 1000 x 1000 x 2000 mm (šířka x hloubka x výška)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 xml:space="preserve">možnost stěhování dveřmi 900 mm x 1970 mm 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hmotnost do 350 kg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součást dodání:</w:t>
      </w:r>
      <w:r w:rsidRPr="006D6D22">
        <w:rPr>
          <w:rFonts w:cs="Arial"/>
        </w:rPr>
        <w:br/>
        <w:t>1 ks box</w:t>
      </w:r>
      <w:r w:rsidRPr="006D6D22">
        <w:rPr>
          <w:rFonts w:cs="Arial"/>
        </w:rPr>
        <w:br/>
        <w:t xml:space="preserve">základní validace při instalaci </w:t>
      </w:r>
    </w:p>
    <w:p w:rsidR="006D6D22" w:rsidRPr="006D6D22" w:rsidRDefault="006D6D22" w:rsidP="006D6D22">
      <w:pPr>
        <w:spacing w:before="120" w:after="60" w:line="360" w:lineRule="auto"/>
        <w:contextualSpacing/>
        <w:rPr>
          <w:rFonts w:cs="Arial"/>
        </w:rPr>
      </w:pPr>
      <w:r w:rsidRPr="006D6D22">
        <w:rPr>
          <w:rFonts w:cs="Arial"/>
        </w:rPr>
        <w:t>možnost dalšího rozšíření o CO2 nebo LN2 zálohování, systém přístupu chráněný kartou, další police, systémy zakladačů, externí alarmové a monitorovací systémy</w:t>
      </w:r>
    </w:p>
    <w:p w:rsidR="006D6D22" w:rsidRDefault="006D6D22" w:rsidP="006D6D22"/>
    <w:p w:rsidR="00F415DE" w:rsidRPr="006D6D22" w:rsidRDefault="00F415DE" w:rsidP="006D6D22">
      <w:r>
        <w:t>Garant</w:t>
      </w:r>
      <w:r w:rsidR="00ED4F81">
        <w:t>i</w:t>
      </w:r>
      <w:r>
        <w:t xml:space="preserve"> a osob</w:t>
      </w:r>
      <w:r w:rsidR="00ED4F81">
        <w:t>y</w:t>
      </w:r>
      <w:r>
        <w:t xml:space="preserve"> na </w:t>
      </w:r>
      <w:r w:rsidR="004763A3">
        <w:t>zaškolení obsluhy</w:t>
      </w:r>
      <w:r>
        <w:t xml:space="preserve">: </w:t>
      </w:r>
      <w:r w:rsidR="00FE2E68">
        <w:t>D</w:t>
      </w:r>
      <w:r>
        <w:t xml:space="preserve">oc. </w:t>
      </w:r>
      <w:r w:rsidR="00FE2E68">
        <w:t xml:space="preserve">Kamil </w:t>
      </w:r>
      <w:r>
        <w:t>Musíle</w:t>
      </w:r>
      <w:bookmarkStart w:id="0" w:name="_GoBack"/>
      <w:bookmarkEnd w:id="0"/>
      <w:r>
        <w:t>k, dr. Novotný</w:t>
      </w:r>
    </w:p>
    <w:sectPr w:rsidR="00F415DE" w:rsidRPr="006D6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17846"/>
    <w:multiLevelType w:val="hybridMultilevel"/>
    <w:tmpl w:val="A5180CA2"/>
    <w:lvl w:ilvl="0" w:tplc="1D56E5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12956"/>
    <w:multiLevelType w:val="hybridMultilevel"/>
    <w:tmpl w:val="2A86DDEE"/>
    <w:lvl w:ilvl="0" w:tplc="D1C4DC4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025"/>
    <w:rsid w:val="003378F6"/>
    <w:rsid w:val="004763A3"/>
    <w:rsid w:val="00525025"/>
    <w:rsid w:val="006D6D22"/>
    <w:rsid w:val="007E685F"/>
    <w:rsid w:val="00A51786"/>
    <w:rsid w:val="00ED2D2F"/>
    <w:rsid w:val="00ED4F81"/>
    <w:rsid w:val="00F415DE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2B6BB-7B89-4096-A23F-408E613D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6D6D22"/>
    <w:pPr>
      <w:keepNext/>
      <w:spacing w:after="0" w:line="240" w:lineRule="auto"/>
      <w:outlineLvl w:val="0"/>
    </w:pPr>
    <w:rPr>
      <w:rFonts w:ascii="Tahoma" w:eastAsia="Times New Roman" w:hAnsi="Tahoma" w:cs="Tahoma"/>
      <w:b/>
      <w:color w:val="FFFFFF"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25025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6D6D22"/>
    <w:rPr>
      <w:rFonts w:ascii="Tahoma" w:eastAsia="Times New Roman" w:hAnsi="Tahoma" w:cs="Tahoma"/>
      <w:b/>
      <w:color w:val="FFFFFF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6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Libor Janečka</dc:creator>
  <cp:lastModifiedBy>Šilhán Radek</cp:lastModifiedBy>
  <cp:revision>7</cp:revision>
  <dcterms:created xsi:type="dcterms:W3CDTF">2013-08-29T04:06:00Z</dcterms:created>
  <dcterms:modified xsi:type="dcterms:W3CDTF">2016-05-09T07:04:00Z</dcterms:modified>
</cp:coreProperties>
</file>